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Kia ora [MP name],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ask you to support nature-based early childhood education in Aotearoa.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Recently, Play and Learn’s Nature Kindergarten, a long-running nature-based early childhood programme, was cancelled after the ECE licence it operated under was cancelled.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has affected 58 tamariki and 15 staff.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this is urgent for the Play and Learn community, it also highlights a wider problem: New Zealand does not currently have a clear licensing pathway for early childhood services where the outdoor environment is the main place of learning.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centres can run nature days, bush kindy sessions or outdoor programmes as excursions from a licensed centre. But that is different from being able to establish a primarily nature-based early childhood service in its own right.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saying every centre should switch to this model.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about saying there should be provision for it, so families and providers who want safe, high-quality nature-based ECE actually have a clear pathway.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the first time this issue has been raised with MPs. In 2019, a submission and petition were brought to Parliament asking for a clear pathway for bush kindergarten, forest school and nature-based ECE. There was cross-party support at the time, but MPs changed, key people left Parliament, COVID happened, and the work stalled.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it is time to pick it back up.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Nature-based ECE can include qualified teachers, supervision structures, risk management, Te Whāriki, and deep learning outdoors.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Safe, high-quality nature-based ECE needs a clear pathway in Aotearoa.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asking you to support two things: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Support the immediate call to save Nature Kindergarten and ensure the Play and Learn situation has a fair, proportionate pathway forward.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wider call for a clear licensing pathway for nature-based ECE, so providers, families and the Ministry have clear expectations, and children can safely access this kind of learning.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Aotearoa values nature, outdoor spaces and children’s wellbeing. Our education system should reflect that too.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support a practical pathway for safe, high-quality nature-based early childhood education.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Ngā mihi,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name]</w:t>
        <w:br w:type="textWrapping"/>
        <w:t xml:space="preserve">[Your town / region]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